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3F618E" w:rsidRDefault="007D0890">
      <w:pPr>
        <w:jc w:val="center"/>
        <w:rPr>
          <w:rFonts w:ascii="Times New Roman" w:eastAsia="Times New Roman" w:hAnsi="Times New Roman" w:cs="Times New Roman"/>
          <w:b/>
          <w:sz w:val="30"/>
          <w:szCs w:val="30"/>
        </w:rPr>
      </w:pPr>
      <w:r>
        <w:rPr>
          <w:rFonts w:ascii="Times New Roman" w:eastAsia="Times New Roman" w:hAnsi="Times New Roman" w:cs="Times New Roman"/>
          <w:b/>
          <w:sz w:val="30"/>
          <w:szCs w:val="30"/>
        </w:rPr>
        <w:t xml:space="preserve">Iran and China: </w:t>
      </w:r>
    </w:p>
    <w:p w14:paraId="00000002" w14:textId="77777777" w:rsidR="003F618E" w:rsidRDefault="007D0890">
      <w:pPr>
        <w:jc w:val="center"/>
        <w:rPr>
          <w:rFonts w:ascii="Times New Roman" w:eastAsia="Times New Roman" w:hAnsi="Times New Roman" w:cs="Times New Roman"/>
          <w:b/>
          <w:sz w:val="30"/>
          <w:szCs w:val="30"/>
        </w:rPr>
      </w:pPr>
      <w:r>
        <w:rPr>
          <w:rFonts w:ascii="Times New Roman" w:eastAsia="Times New Roman" w:hAnsi="Times New Roman" w:cs="Times New Roman"/>
          <w:b/>
          <w:sz w:val="30"/>
          <w:szCs w:val="30"/>
        </w:rPr>
        <w:t>Common Heritage and Contemporary Relations</w:t>
      </w:r>
    </w:p>
    <w:p w14:paraId="00000003" w14:textId="77777777" w:rsidR="003F618E" w:rsidRDefault="007D0890">
      <w:pPr>
        <w:jc w:val="center"/>
        <w:rPr>
          <w:rFonts w:ascii="Times New Roman" w:eastAsia="Times New Roman" w:hAnsi="Times New Roman" w:cs="Times New Roman"/>
          <w:sz w:val="30"/>
          <w:szCs w:val="30"/>
        </w:rPr>
      </w:pPr>
      <w:r>
        <w:rPr>
          <w:rFonts w:ascii="Times New Roman" w:eastAsia="Times New Roman" w:hAnsi="Times New Roman" w:cs="Times New Roman"/>
          <w:sz w:val="30"/>
          <w:szCs w:val="30"/>
        </w:rPr>
        <w:t>Sept 27-28, 2024, University of Groningen</w:t>
      </w:r>
    </w:p>
    <w:p w14:paraId="00000004" w14:textId="77777777" w:rsidR="003F618E" w:rsidRDefault="003F618E">
      <w:pPr>
        <w:jc w:val="center"/>
        <w:rPr>
          <w:rFonts w:ascii="Times New Roman" w:eastAsia="Times New Roman" w:hAnsi="Times New Roman" w:cs="Times New Roman"/>
          <w:sz w:val="30"/>
          <w:szCs w:val="30"/>
        </w:rPr>
      </w:pPr>
    </w:p>
    <w:p w14:paraId="00000005" w14:textId="77777777" w:rsidR="003F618E" w:rsidRDefault="007D0890">
      <w:pPr>
        <w:jc w:val="center"/>
        <w:rPr>
          <w:rFonts w:ascii="Times New Roman" w:eastAsia="Times New Roman" w:hAnsi="Times New Roman" w:cs="Times New Roman"/>
          <w:sz w:val="30"/>
          <w:szCs w:val="30"/>
        </w:rPr>
      </w:pPr>
      <w:r>
        <w:rPr>
          <w:rFonts w:ascii="Times New Roman" w:eastAsia="Times New Roman" w:hAnsi="Times New Roman" w:cs="Times New Roman"/>
          <w:sz w:val="30"/>
          <w:szCs w:val="30"/>
        </w:rPr>
        <w:t xml:space="preserve">Convenors: </w:t>
      </w:r>
    </w:p>
    <w:p w14:paraId="00000006" w14:textId="77777777" w:rsidR="003F618E" w:rsidRDefault="007D0890">
      <w:pPr>
        <w:jc w:val="center"/>
        <w:rPr>
          <w:rFonts w:ascii="Times New Roman" w:eastAsia="Times New Roman" w:hAnsi="Times New Roman" w:cs="Times New Roman"/>
          <w:sz w:val="30"/>
          <w:szCs w:val="30"/>
        </w:rPr>
      </w:pPr>
      <w:r>
        <w:rPr>
          <w:rFonts w:ascii="Times New Roman" w:eastAsia="Times New Roman" w:hAnsi="Times New Roman" w:cs="Times New Roman"/>
          <w:sz w:val="30"/>
          <w:szCs w:val="30"/>
        </w:rPr>
        <w:t xml:space="preserve">William Figueroa (University of Groningen) &amp; </w:t>
      </w:r>
    </w:p>
    <w:p w14:paraId="00000007" w14:textId="77777777" w:rsidR="003F618E" w:rsidRDefault="007D0890">
      <w:pPr>
        <w:jc w:val="center"/>
        <w:rPr>
          <w:rFonts w:ascii="Times New Roman" w:eastAsia="Times New Roman" w:hAnsi="Times New Roman" w:cs="Times New Roman"/>
          <w:sz w:val="30"/>
          <w:szCs w:val="30"/>
        </w:rPr>
      </w:pPr>
      <w:r>
        <w:rPr>
          <w:rFonts w:ascii="Times New Roman" w:eastAsia="Times New Roman" w:hAnsi="Times New Roman" w:cs="Times New Roman"/>
          <w:sz w:val="30"/>
          <w:szCs w:val="30"/>
        </w:rPr>
        <w:t xml:space="preserve">Peyman </w:t>
      </w:r>
      <w:proofErr w:type="spellStart"/>
      <w:r>
        <w:rPr>
          <w:rFonts w:ascii="Times New Roman" w:eastAsia="Times New Roman" w:hAnsi="Times New Roman" w:cs="Times New Roman"/>
          <w:sz w:val="30"/>
          <w:szCs w:val="30"/>
        </w:rPr>
        <w:t>Eshaghi</w:t>
      </w:r>
      <w:proofErr w:type="spellEnd"/>
      <w:r>
        <w:rPr>
          <w:rFonts w:ascii="Times New Roman" w:eastAsia="Times New Roman" w:hAnsi="Times New Roman" w:cs="Times New Roman"/>
          <w:sz w:val="30"/>
          <w:szCs w:val="30"/>
        </w:rPr>
        <w:t xml:space="preserve"> (Free University of Berlin)</w:t>
      </w:r>
    </w:p>
    <w:p w14:paraId="00000008" w14:textId="77777777" w:rsidR="003F618E" w:rsidRDefault="003F618E">
      <w:pPr>
        <w:jc w:val="center"/>
        <w:rPr>
          <w:rFonts w:ascii="Times New Roman" w:eastAsia="Times New Roman" w:hAnsi="Times New Roman" w:cs="Times New Roman"/>
          <w:sz w:val="30"/>
          <w:szCs w:val="30"/>
        </w:rPr>
      </w:pPr>
    </w:p>
    <w:p w14:paraId="00000009" w14:textId="77777777" w:rsidR="003F618E" w:rsidRDefault="003F618E">
      <w:pPr>
        <w:jc w:val="both"/>
        <w:rPr>
          <w:rFonts w:ascii="Times New Roman" w:eastAsia="Times New Roman" w:hAnsi="Times New Roman" w:cs="Times New Roman"/>
          <w:sz w:val="30"/>
          <w:szCs w:val="30"/>
        </w:rPr>
      </w:pPr>
    </w:p>
    <w:p w14:paraId="0000000A" w14:textId="77777777" w:rsidR="003F618E" w:rsidRDefault="007D0890">
      <w:pPr>
        <w:jc w:val="both"/>
        <w:rPr>
          <w:rFonts w:ascii="Times New Roman" w:eastAsia="Times New Roman" w:hAnsi="Times New Roman" w:cs="Times New Roman"/>
          <w:sz w:val="30"/>
          <w:szCs w:val="30"/>
        </w:rPr>
      </w:pPr>
      <w:r>
        <w:rPr>
          <w:rFonts w:ascii="Times New Roman" w:eastAsia="Times New Roman" w:hAnsi="Times New Roman" w:cs="Times New Roman"/>
          <w:sz w:val="30"/>
          <w:szCs w:val="30"/>
        </w:rPr>
        <w:t>Since ancient times, connections between Iran and China have flourished through trade and literature. This has resulted in significant mutual influence on the artistic, cultural, and political development and histories of various peoples residing in the Ir</w:t>
      </w:r>
      <w:r>
        <w:rPr>
          <w:rFonts w:ascii="Times New Roman" w:eastAsia="Times New Roman" w:hAnsi="Times New Roman" w:cs="Times New Roman"/>
          <w:sz w:val="30"/>
          <w:szCs w:val="30"/>
        </w:rPr>
        <w:t xml:space="preserve">anian plateau, China, and Central Asia. Today a large amount of extant tangible and intangible cultural heritage exists in both Iran and China attesting to this shared history. Both forms of heritage are </w:t>
      </w:r>
      <w:proofErr w:type="gramStart"/>
      <w:r>
        <w:rPr>
          <w:rFonts w:ascii="Times New Roman" w:eastAsia="Times New Roman" w:hAnsi="Times New Roman" w:cs="Times New Roman"/>
          <w:sz w:val="30"/>
          <w:szCs w:val="30"/>
        </w:rPr>
        <w:t>often  referenced</w:t>
      </w:r>
      <w:proofErr w:type="gramEnd"/>
      <w:r>
        <w:rPr>
          <w:rFonts w:ascii="Times New Roman" w:eastAsia="Times New Roman" w:hAnsi="Times New Roman" w:cs="Times New Roman"/>
          <w:sz w:val="30"/>
          <w:szCs w:val="30"/>
        </w:rPr>
        <w:t xml:space="preserve">, put on display, and mobilized in </w:t>
      </w:r>
      <w:r>
        <w:rPr>
          <w:rFonts w:ascii="Times New Roman" w:eastAsia="Times New Roman" w:hAnsi="Times New Roman" w:cs="Times New Roman"/>
          <w:sz w:val="30"/>
          <w:szCs w:val="30"/>
        </w:rPr>
        <w:t>support of a range of political and personal projects. Given its historical significance and contemporary relevance, the goal of this conference is to bring together scholars considering these common ties of cultural heritage, as well as how they are situa</w:t>
      </w:r>
      <w:r>
        <w:rPr>
          <w:rFonts w:ascii="Times New Roman" w:eastAsia="Times New Roman" w:hAnsi="Times New Roman" w:cs="Times New Roman"/>
          <w:sz w:val="30"/>
          <w:szCs w:val="30"/>
        </w:rPr>
        <w:t>ted in contemporary academic, political, or cultural debates.</w:t>
      </w:r>
    </w:p>
    <w:p w14:paraId="0000000B" w14:textId="77777777" w:rsidR="003F618E" w:rsidRDefault="007D0890">
      <w:pPr>
        <w:shd w:val="clear" w:color="auto" w:fill="FFFFFF"/>
        <w:spacing w:before="360" w:after="360"/>
        <w:jc w:val="both"/>
        <w:rPr>
          <w:rFonts w:ascii="Times New Roman" w:eastAsia="Times New Roman" w:hAnsi="Times New Roman" w:cs="Times New Roman"/>
          <w:sz w:val="30"/>
          <w:szCs w:val="30"/>
        </w:rPr>
      </w:pPr>
      <w:r>
        <w:rPr>
          <w:rFonts w:ascii="Times New Roman" w:eastAsia="Times New Roman" w:hAnsi="Times New Roman" w:cs="Times New Roman"/>
          <w:sz w:val="30"/>
          <w:szCs w:val="30"/>
        </w:rPr>
        <w:t>We invite papers on any aspect of the common heritage of Iran and China, including but not limited to the following issues:</w:t>
      </w:r>
    </w:p>
    <w:p w14:paraId="0000000C" w14:textId="77777777" w:rsidR="003F618E" w:rsidRDefault="007D0890">
      <w:pPr>
        <w:numPr>
          <w:ilvl w:val="0"/>
          <w:numId w:val="1"/>
        </w:numPr>
        <w:shd w:val="clear" w:color="auto" w:fill="FFFFFF"/>
        <w:spacing w:before="360"/>
        <w:jc w:val="both"/>
        <w:rPr>
          <w:rFonts w:ascii="Times New Roman" w:eastAsia="Times New Roman" w:hAnsi="Times New Roman" w:cs="Times New Roman"/>
          <w:sz w:val="30"/>
          <w:szCs w:val="30"/>
        </w:rPr>
      </w:pPr>
      <w:r>
        <w:rPr>
          <w:rFonts w:ascii="Times New Roman" w:eastAsia="Times New Roman" w:hAnsi="Times New Roman" w:cs="Times New Roman"/>
          <w:sz w:val="30"/>
          <w:szCs w:val="30"/>
        </w:rPr>
        <w:t xml:space="preserve">Books, manuscripts, art works and </w:t>
      </w:r>
      <w:proofErr w:type="gramStart"/>
      <w:r>
        <w:rPr>
          <w:rFonts w:ascii="Times New Roman" w:eastAsia="Times New Roman" w:hAnsi="Times New Roman" w:cs="Times New Roman"/>
          <w:sz w:val="30"/>
          <w:szCs w:val="30"/>
        </w:rPr>
        <w:t>first hand</w:t>
      </w:r>
      <w:proofErr w:type="gramEnd"/>
      <w:r>
        <w:rPr>
          <w:rFonts w:ascii="Times New Roman" w:eastAsia="Times New Roman" w:hAnsi="Times New Roman" w:cs="Times New Roman"/>
          <w:sz w:val="30"/>
          <w:szCs w:val="30"/>
        </w:rPr>
        <w:t xml:space="preserve"> materials about Iran and </w:t>
      </w:r>
      <w:r>
        <w:rPr>
          <w:rFonts w:ascii="Times New Roman" w:eastAsia="Times New Roman" w:hAnsi="Times New Roman" w:cs="Times New Roman"/>
          <w:sz w:val="30"/>
          <w:szCs w:val="30"/>
        </w:rPr>
        <w:t xml:space="preserve">China produced in either countries. </w:t>
      </w:r>
    </w:p>
    <w:p w14:paraId="0000000D" w14:textId="77777777" w:rsidR="003F618E" w:rsidRDefault="007D0890">
      <w:pPr>
        <w:numPr>
          <w:ilvl w:val="0"/>
          <w:numId w:val="1"/>
        </w:numPr>
        <w:shd w:val="clear" w:color="auto" w:fill="FFFFFF"/>
        <w:jc w:val="both"/>
        <w:rPr>
          <w:rFonts w:ascii="Times New Roman" w:eastAsia="Times New Roman" w:hAnsi="Times New Roman" w:cs="Times New Roman"/>
          <w:sz w:val="30"/>
          <w:szCs w:val="30"/>
        </w:rPr>
      </w:pPr>
      <w:r>
        <w:rPr>
          <w:rFonts w:ascii="Times New Roman" w:eastAsia="Times New Roman" w:hAnsi="Times New Roman" w:cs="Times New Roman"/>
          <w:sz w:val="30"/>
          <w:szCs w:val="30"/>
        </w:rPr>
        <w:t xml:space="preserve">Literary products of any kind that consider the relationship between the two. </w:t>
      </w:r>
    </w:p>
    <w:p w14:paraId="0000000E" w14:textId="77777777" w:rsidR="003F618E" w:rsidRDefault="007D0890">
      <w:pPr>
        <w:numPr>
          <w:ilvl w:val="0"/>
          <w:numId w:val="1"/>
        </w:numPr>
        <w:shd w:val="clear" w:color="auto" w:fill="FFFFFF"/>
        <w:jc w:val="both"/>
        <w:rPr>
          <w:rFonts w:ascii="Times New Roman" w:eastAsia="Times New Roman" w:hAnsi="Times New Roman" w:cs="Times New Roman"/>
          <w:sz w:val="30"/>
          <w:szCs w:val="30"/>
        </w:rPr>
      </w:pPr>
      <w:r>
        <w:rPr>
          <w:rFonts w:ascii="Times New Roman" w:eastAsia="Times New Roman" w:hAnsi="Times New Roman" w:cs="Times New Roman"/>
          <w:sz w:val="30"/>
          <w:szCs w:val="30"/>
        </w:rPr>
        <w:t xml:space="preserve">The presence or influence of Iranian or Chinese culture in the literature, folklore, and artistic traditions of the other. </w:t>
      </w:r>
    </w:p>
    <w:p w14:paraId="0000000F" w14:textId="77777777" w:rsidR="003F618E" w:rsidRDefault="007D0890">
      <w:pPr>
        <w:numPr>
          <w:ilvl w:val="0"/>
          <w:numId w:val="1"/>
        </w:numPr>
        <w:shd w:val="clear" w:color="auto" w:fill="FFFFFF"/>
        <w:jc w:val="both"/>
        <w:rPr>
          <w:rFonts w:ascii="Times New Roman" w:eastAsia="Times New Roman" w:hAnsi="Times New Roman" w:cs="Times New Roman"/>
          <w:sz w:val="30"/>
          <w:szCs w:val="30"/>
        </w:rPr>
      </w:pPr>
      <w:r>
        <w:rPr>
          <w:rFonts w:ascii="Times New Roman" w:eastAsia="Times New Roman" w:hAnsi="Times New Roman" w:cs="Times New Roman"/>
          <w:sz w:val="30"/>
          <w:szCs w:val="30"/>
        </w:rPr>
        <w:t>Travelogues, dia</w:t>
      </w:r>
      <w:r>
        <w:rPr>
          <w:rFonts w:ascii="Times New Roman" w:eastAsia="Times New Roman" w:hAnsi="Times New Roman" w:cs="Times New Roman"/>
          <w:sz w:val="30"/>
          <w:szCs w:val="30"/>
        </w:rPr>
        <w:t>ries, and cultures of travel.</w:t>
      </w:r>
    </w:p>
    <w:p w14:paraId="00000010" w14:textId="77777777" w:rsidR="003F618E" w:rsidRDefault="007D0890">
      <w:pPr>
        <w:numPr>
          <w:ilvl w:val="0"/>
          <w:numId w:val="1"/>
        </w:numPr>
        <w:shd w:val="clear" w:color="auto" w:fill="FFFFFF"/>
        <w:jc w:val="both"/>
        <w:rPr>
          <w:rFonts w:ascii="Times New Roman" w:eastAsia="Times New Roman" w:hAnsi="Times New Roman" w:cs="Times New Roman"/>
          <w:sz w:val="30"/>
          <w:szCs w:val="30"/>
        </w:rPr>
      </w:pPr>
      <w:r>
        <w:rPr>
          <w:rFonts w:ascii="Times New Roman" w:eastAsia="Times New Roman" w:hAnsi="Times New Roman" w:cs="Times New Roman"/>
          <w:sz w:val="30"/>
          <w:szCs w:val="30"/>
        </w:rPr>
        <w:lastRenderedPageBreak/>
        <w:t xml:space="preserve">Accounts of historical political relations between Iran and China, including delegates and envoys.  </w:t>
      </w:r>
    </w:p>
    <w:p w14:paraId="00000011" w14:textId="77777777" w:rsidR="003F618E" w:rsidRDefault="007D0890">
      <w:pPr>
        <w:numPr>
          <w:ilvl w:val="0"/>
          <w:numId w:val="1"/>
        </w:numPr>
        <w:shd w:val="clear" w:color="auto" w:fill="FFFFFF"/>
        <w:jc w:val="both"/>
        <w:rPr>
          <w:rFonts w:ascii="Times New Roman" w:eastAsia="Times New Roman" w:hAnsi="Times New Roman" w:cs="Times New Roman"/>
          <w:sz w:val="30"/>
          <w:szCs w:val="30"/>
        </w:rPr>
      </w:pPr>
      <w:r>
        <w:rPr>
          <w:rFonts w:ascii="Times New Roman" w:eastAsia="Times New Roman" w:hAnsi="Times New Roman" w:cs="Times New Roman"/>
          <w:sz w:val="30"/>
          <w:szCs w:val="30"/>
        </w:rPr>
        <w:t>The historical position of Iran on the Silk Road and its connection to China.</w:t>
      </w:r>
    </w:p>
    <w:p w14:paraId="00000012" w14:textId="77777777" w:rsidR="003F618E" w:rsidRDefault="007D0890">
      <w:pPr>
        <w:numPr>
          <w:ilvl w:val="0"/>
          <w:numId w:val="1"/>
        </w:numPr>
        <w:shd w:val="clear" w:color="auto" w:fill="FFFFFF"/>
        <w:jc w:val="both"/>
        <w:rPr>
          <w:rFonts w:ascii="Times New Roman" w:eastAsia="Times New Roman" w:hAnsi="Times New Roman" w:cs="Times New Roman"/>
          <w:sz w:val="30"/>
          <w:szCs w:val="30"/>
        </w:rPr>
      </w:pPr>
      <w:r>
        <w:rPr>
          <w:rFonts w:ascii="Times New Roman" w:eastAsia="Times New Roman" w:hAnsi="Times New Roman" w:cs="Times New Roman"/>
          <w:sz w:val="30"/>
          <w:szCs w:val="30"/>
        </w:rPr>
        <w:t>Material life, imported objects, and the object</w:t>
      </w:r>
      <w:r>
        <w:rPr>
          <w:rFonts w:ascii="Times New Roman" w:eastAsia="Times New Roman" w:hAnsi="Times New Roman" w:cs="Times New Roman"/>
          <w:sz w:val="30"/>
          <w:szCs w:val="30"/>
        </w:rPr>
        <w:t xml:space="preserve">ification of imagination between the two countries. </w:t>
      </w:r>
    </w:p>
    <w:p w14:paraId="00000013" w14:textId="77777777" w:rsidR="003F618E" w:rsidRDefault="007D0890">
      <w:pPr>
        <w:numPr>
          <w:ilvl w:val="0"/>
          <w:numId w:val="1"/>
        </w:numPr>
        <w:shd w:val="clear" w:color="auto" w:fill="FFFFFF"/>
        <w:jc w:val="both"/>
        <w:rPr>
          <w:rFonts w:ascii="Times New Roman" w:eastAsia="Times New Roman" w:hAnsi="Times New Roman" w:cs="Times New Roman"/>
          <w:sz w:val="30"/>
          <w:szCs w:val="30"/>
        </w:rPr>
      </w:pPr>
      <w:r>
        <w:rPr>
          <w:rFonts w:ascii="Times New Roman" w:eastAsia="Times New Roman" w:hAnsi="Times New Roman" w:cs="Times New Roman"/>
          <w:sz w:val="30"/>
          <w:szCs w:val="30"/>
        </w:rPr>
        <w:t>Religious life, missionary groups, and promotion of Islam, Nestorianism and Manichaeism in Iran and China.</w:t>
      </w:r>
    </w:p>
    <w:p w14:paraId="00000014" w14:textId="77777777" w:rsidR="003F618E" w:rsidRDefault="007D0890">
      <w:pPr>
        <w:numPr>
          <w:ilvl w:val="0"/>
          <w:numId w:val="1"/>
        </w:numPr>
        <w:shd w:val="clear" w:color="auto" w:fill="FFFFFF"/>
        <w:jc w:val="both"/>
        <w:rPr>
          <w:rFonts w:ascii="Times New Roman" w:eastAsia="Times New Roman" w:hAnsi="Times New Roman" w:cs="Times New Roman"/>
          <w:sz w:val="30"/>
          <w:szCs w:val="30"/>
        </w:rPr>
      </w:pPr>
      <w:r>
        <w:rPr>
          <w:rFonts w:ascii="Times New Roman" w:eastAsia="Times New Roman" w:hAnsi="Times New Roman" w:cs="Times New Roman"/>
          <w:sz w:val="30"/>
          <w:szCs w:val="30"/>
        </w:rPr>
        <w:t>Emigration and immigration of Iranian and Chinese communities across Central Asia.</w:t>
      </w:r>
    </w:p>
    <w:p w14:paraId="00000015" w14:textId="77777777" w:rsidR="003F618E" w:rsidRDefault="007D0890">
      <w:pPr>
        <w:numPr>
          <w:ilvl w:val="0"/>
          <w:numId w:val="1"/>
        </w:numPr>
        <w:shd w:val="clear" w:color="auto" w:fill="FFFFFF"/>
        <w:spacing w:after="360"/>
        <w:jc w:val="both"/>
        <w:rPr>
          <w:rFonts w:ascii="Times New Roman" w:eastAsia="Times New Roman" w:hAnsi="Times New Roman" w:cs="Times New Roman"/>
          <w:sz w:val="30"/>
          <w:szCs w:val="30"/>
        </w:rPr>
      </w:pPr>
      <w:r>
        <w:rPr>
          <w:rFonts w:ascii="Times New Roman" w:eastAsia="Times New Roman" w:hAnsi="Times New Roman" w:cs="Times New Roman"/>
          <w:sz w:val="30"/>
          <w:szCs w:val="30"/>
        </w:rPr>
        <w:t>Contemporary mobilization of these themes in international relations, public discourse, and academic debates.</w:t>
      </w:r>
    </w:p>
    <w:p w14:paraId="00000016" w14:textId="77777777" w:rsidR="003F618E" w:rsidRDefault="007D0890">
      <w:pPr>
        <w:shd w:val="clear" w:color="auto" w:fill="FFFFFF"/>
        <w:spacing w:before="360" w:after="360"/>
        <w:jc w:val="both"/>
        <w:rPr>
          <w:rFonts w:ascii="Times New Roman" w:eastAsia="Times New Roman" w:hAnsi="Times New Roman" w:cs="Times New Roman"/>
          <w:sz w:val="30"/>
          <w:szCs w:val="30"/>
        </w:rPr>
      </w:pPr>
      <w:r>
        <w:rPr>
          <w:rFonts w:ascii="Times New Roman" w:eastAsia="Times New Roman" w:hAnsi="Times New Roman" w:cs="Times New Roman"/>
          <w:sz w:val="30"/>
          <w:szCs w:val="30"/>
        </w:rPr>
        <w:t>The workshop will be held in hybrid format, in person at University of Groningen for those who are able to attend, and online for colleagues who a</w:t>
      </w:r>
      <w:r>
        <w:rPr>
          <w:rFonts w:ascii="Times New Roman" w:eastAsia="Times New Roman" w:hAnsi="Times New Roman" w:cs="Times New Roman"/>
          <w:sz w:val="30"/>
          <w:szCs w:val="30"/>
        </w:rPr>
        <w:t>re unable to attend in person. The conference will be sponsored by the Groningen Research Institute for the Study of Culture (</w:t>
      </w:r>
      <w:proofErr w:type="spellStart"/>
      <w:r>
        <w:rPr>
          <w:rFonts w:ascii="Times New Roman" w:eastAsia="Times New Roman" w:hAnsi="Times New Roman" w:cs="Times New Roman"/>
          <w:i/>
          <w:sz w:val="30"/>
          <w:szCs w:val="30"/>
        </w:rPr>
        <w:t>Instituut</w:t>
      </w:r>
      <w:proofErr w:type="spellEnd"/>
      <w:r>
        <w:rPr>
          <w:rFonts w:ascii="Times New Roman" w:eastAsia="Times New Roman" w:hAnsi="Times New Roman" w:cs="Times New Roman"/>
          <w:i/>
          <w:sz w:val="30"/>
          <w:szCs w:val="30"/>
        </w:rPr>
        <w:t xml:space="preserve"> </w:t>
      </w:r>
      <w:proofErr w:type="spellStart"/>
      <w:r>
        <w:rPr>
          <w:rFonts w:ascii="Times New Roman" w:eastAsia="Times New Roman" w:hAnsi="Times New Roman" w:cs="Times New Roman"/>
          <w:i/>
          <w:sz w:val="30"/>
          <w:szCs w:val="30"/>
        </w:rPr>
        <w:t>voor</w:t>
      </w:r>
      <w:proofErr w:type="spellEnd"/>
      <w:r>
        <w:rPr>
          <w:rFonts w:ascii="Times New Roman" w:eastAsia="Times New Roman" w:hAnsi="Times New Roman" w:cs="Times New Roman"/>
          <w:i/>
          <w:sz w:val="30"/>
          <w:szCs w:val="30"/>
        </w:rPr>
        <w:t xml:space="preserve"> </w:t>
      </w:r>
      <w:proofErr w:type="spellStart"/>
      <w:r>
        <w:rPr>
          <w:rFonts w:ascii="Times New Roman" w:eastAsia="Times New Roman" w:hAnsi="Times New Roman" w:cs="Times New Roman"/>
          <w:i/>
          <w:sz w:val="30"/>
          <w:szCs w:val="30"/>
        </w:rPr>
        <w:t>Cultuurwetenschappelijk</w:t>
      </w:r>
      <w:proofErr w:type="spellEnd"/>
      <w:r>
        <w:rPr>
          <w:rFonts w:ascii="Times New Roman" w:eastAsia="Times New Roman" w:hAnsi="Times New Roman" w:cs="Times New Roman"/>
          <w:i/>
          <w:sz w:val="30"/>
          <w:szCs w:val="30"/>
        </w:rPr>
        <w:t xml:space="preserve"> </w:t>
      </w:r>
      <w:proofErr w:type="spellStart"/>
      <w:r>
        <w:rPr>
          <w:rFonts w:ascii="Times New Roman" w:eastAsia="Times New Roman" w:hAnsi="Times New Roman" w:cs="Times New Roman"/>
          <w:i/>
          <w:sz w:val="30"/>
          <w:szCs w:val="30"/>
        </w:rPr>
        <w:t>Onderzoek</w:t>
      </w:r>
      <w:proofErr w:type="spellEnd"/>
      <w:r>
        <w:rPr>
          <w:rFonts w:ascii="Times New Roman" w:eastAsia="Times New Roman" w:hAnsi="Times New Roman" w:cs="Times New Roman"/>
          <w:sz w:val="30"/>
          <w:szCs w:val="30"/>
        </w:rPr>
        <w:t xml:space="preserve"> Groningen: ICOG) and the Centre for Religion and Heritage (CRH).</w:t>
      </w:r>
    </w:p>
    <w:p w14:paraId="00000017" w14:textId="77777777" w:rsidR="003F618E" w:rsidRDefault="007D0890">
      <w:pPr>
        <w:shd w:val="clear" w:color="auto" w:fill="FFFFFF"/>
        <w:spacing w:before="360" w:after="360"/>
        <w:jc w:val="both"/>
        <w:rPr>
          <w:rFonts w:ascii="Times New Roman" w:eastAsia="Times New Roman" w:hAnsi="Times New Roman" w:cs="Times New Roman"/>
          <w:sz w:val="30"/>
          <w:szCs w:val="30"/>
        </w:rPr>
      </w:pPr>
      <w:r>
        <w:rPr>
          <w:rFonts w:ascii="Times New Roman" w:eastAsia="Times New Roman" w:hAnsi="Times New Roman" w:cs="Times New Roman"/>
          <w:sz w:val="30"/>
          <w:szCs w:val="30"/>
        </w:rPr>
        <w:t>Keynote Speakers</w:t>
      </w:r>
      <w:r>
        <w:rPr>
          <w:rFonts w:ascii="Times New Roman" w:eastAsia="Times New Roman" w:hAnsi="Times New Roman" w:cs="Times New Roman"/>
          <w:sz w:val="30"/>
          <w:szCs w:val="30"/>
        </w:rPr>
        <w:t xml:space="preserve">: </w:t>
      </w:r>
    </w:p>
    <w:p w14:paraId="00000018" w14:textId="77777777" w:rsidR="003F618E" w:rsidRDefault="007D0890">
      <w:pPr>
        <w:shd w:val="clear" w:color="auto" w:fill="FFFFFF"/>
        <w:jc w:val="both"/>
        <w:rPr>
          <w:rFonts w:ascii="Times New Roman" w:eastAsia="Times New Roman" w:hAnsi="Times New Roman" w:cs="Times New Roman"/>
          <w:sz w:val="30"/>
          <w:szCs w:val="30"/>
        </w:rPr>
      </w:pPr>
      <w:proofErr w:type="spellStart"/>
      <w:r>
        <w:rPr>
          <w:rFonts w:ascii="Times New Roman" w:eastAsia="Times New Roman" w:hAnsi="Times New Roman" w:cs="Times New Roman"/>
          <w:sz w:val="30"/>
          <w:szCs w:val="30"/>
        </w:rPr>
        <w:t>Arang</w:t>
      </w:r>
      <w:proofErr w:type="spellEnd"/>
      <w:r>
        <w:rPr>
          <w:rFonts w:ascii="Times New Roman" w:eastAsia="Times New Roman" w:hAnsi="Times New Roman" w:cs="Times New Roman"/>
          <w:sz w:val="30"/>
          <w:szCs w:val="30"/>
        </w:rPr>
        <w:t xml:space="preserve"> </w:t>
      </w:r>
      <w:proofErr w:type="spellStart"/>
      <w:r>
        <w:rPr>
          <w:rFonts w:ascii="Times New Roman" w:eastAsia="Times New Roman" w:hAnsi="Times New Roman" w:cs="Times New Roman"/>
          <w:sz w:val="30"/>
          <w:szCs w:val="30"/>
        </w:rPr>
        <w:t>Keshavarzian</w:t>
      </w:r>
      <w:proofErr w:type="spellEnd"/>
      <w:r>
        <w:rPr>
          <w:rFonts w:ascii="Times New Roman" w:eastAsia="Times New Roman" w:hAnsi="Times New Roman" w:cs="Times New Roman"/>
          <w:sz w:val="30"/>
          <w:szCs w:val="30"/>
        </w:rPr>
        <w:t>, NYU</w:t>
      </w:r>
    </w:p>
    <w:p w14:paraId="00000019" w14:textId="77777777" w:rsidR="003F618E" w:rsidRDefault="007D0890">
      <w:pPr>
        <w:shd w:val="clear" w:color="auto" w:fill="FFFFFF"/>
        <w:jc w:val="both"/>
        <w:rPr>
          <w:rFonts w:ascii="Times New Roman" w:eastAsia="Times New Roman" w:hAnsi="Times New Roman" w:cs="Times New Roman"/>
          <w:sz w:val="30"/>
          <w:szCs w:val="30"/>
        </w:rPr>
      </w:pPr>
      <w:proofErr w:type="spellStart"/>
      <w:r>
        <w:rPr>
          <w:rFonts w:ascii="Times New Roman" w:eastAsia="Times New Roman" w:hAnsi="Times New Roman" w:cs="Times New Roman"/>
          <w:sz w:val="30"/>
          <w:szCs w:val="30"/>
        </w:rPr>
        <w:t>Khodadad</w:t>
      </w:r>
      <w:proofErr w:type="spellEnd"/>
      <w:r>
        <w:rPr>
          <w:rFonts w:ascii="Times New Roman" w:eastAsia="Times New Roman" w:hAnsi="Times New Roman" w:cs="Times New Roman"/>
          <w:sz w:val="30"/>
          <w:szCs w:val="30"/>
        </w:rPr>
        <w:t xml:space="preserve"> </w:t>
      </w:r>
      <w:proofErr w:type="spellStart"/>
      <w:r>
        <w:rPr>
          <w:rFonts w:ascii="Times New Roman" w:eastAsia="Times New Roman" w:hAnsi="Times New Roman" w:cs="Times New Roman"/>
          <w:sz w:val="30"/>
          <w:szCs w:val="30"/>
        </w:rPr>
        <w:t>Rezakhani</w:t>
      </w:r>
      <w:proofErr w:type="spellEnd"/>
      <w:r>
        <w:rPr>
          <w:rFonts w:ascii="Times New Roman" w:eastAsia="Times New Roman" w:hAnsi="Times New Roman" w:cs="Times New Roman"/>
          <w:sz w:val="30"/>
          <w:szCs w:val="30"/>
        </w:rPr>
        <w:t>, Leiden Institute for Area Studies</w:t>
      </w:r>
    </w:p>
    <w:p w14:paraId="0000001A" w14:textId="77777777" w:rsidR="003F618E" w:rsidRDefault="007D0890">
      <w:pPr>
        <w:shd w:val="clear" w:color="auto" w:fill="FFFFFF"/>
        <w:spacing w:before="360" w:after="360"/>
        <w:jc w:val="both"/>
        <w:rPr>
          <w:rFonts w:ascii="Times New Roman" w:eastAsia="Times New Roman" w:hAnsi="Times New Roman" w:cs="Times New Roman"/>
          <w:sz w:val="30"/>
          <w:szCs w:val="30"/>
        </w:rPr>
      </w:pPr>
      <w:r>
        <w:rPr>
          <w:rFonts w:ascii="Times New Roman" w:eastAsia="Times New Roman" w:hAnsi="Times New Roman" w:cs="Times New Roman"/>
          <w:sz w:val="30"/>
          <w:szCs w:val="30"/>
        </w:rPr>
        <w:t xml:space="preserve">We invite interested scholars to send an abstract (300 words max.) and a one-page CV to: </w:t>
      </w:r>
      <w:hyperlink r:id="rId6">
        <w:r>
          <w:rPr>
            <w:rFonts w:ascii="Times New Roman" w:eastAsia="Times New Roman" w:hAnsi="Times New Roman" w:cs="Times New Roman"/>
            <w:color w:val="1155CC"/>
            <w:sz w:val="30"/>
            <w:szCs w:val="30"/>
            <w:u w:val="single"/>
          </w:rPr>
          <w:t>w.a.figueroa@rug.nl</w:t>
        </w:r>
      </w:hyperlink>
      <w:r>
        <w:rPr>
          <w:rFonts w:ascii="Times New Roman" w:eastAsia="Times New Roman" w:hAnsi="Times New Roman" w:cs="Times New Roman"/>
          <w:sz w:val="30"/>
          <w:szCs w:val="30"/>
        </w:rPr>
        <w:t xml:space="preserve"> </w:t>
      </w:r>
    </w:p>
    <w:p w14:paraId="0000001B" w14:textId="77777777" w:rsidR="003F618E" w:rsidRDefault="007D0890">
      <w:pPr>
        <w:shd w:val="clear" w:color="auto" w:fill="FFFFFF"/>
        <w:jc w:val="both"/>
        <w:rPr>
          <w:rFonts w:ascii="Times New Roman" w:eastAsia="Times New Roman" w:hAnsi="Times New Roman" w:cs="Times New Roman"/>
          <w:b/>
          <w:sz w:val="30"/>
          <w:szCs w:val="30"/>
        </w:rPr>
      </w:pPr>
      <w:r>
        <w:rPr>
          <w:rFonts w:ascii="Times New Roman" w:eastAsia="Times New Roman" w:hAnsi="Times New Roman" w:cs="Times New Roman"/>
          <w:b/>
          <w:sz w:val="30"/>
          <w:szCs w:val="30"/>
        </w:rPr>
        <w:t>SUBMISSION DEADLINE</w:t>
      </w:r>
      <w:r>
        <w:rPr>
          <w:rFonts w:ascii="Times New Roman" w:eastAsia="Times New Roman" w:hAnsi="Times New Roman" w:cs="Times New Roman"/>
          <w:b/>
          <w:sz w:val="30"/>
          <w:szCs w:val="30"/>
        </w:rPr>
        <w:t xml:space="preserve"> </w:t>
      </w:r>
      <w:r>
        <w:rPr>
          <w:rFonts w:ascii="Times New Roman" w:eastAsia="Times New Roman" w:hAnsi="Times New Roman" w:cs="Times New Roman"/>
          <w:sz w:val="30"/>
          <w:szCs w:val="30"/>
        </w:rPr>
        <w:t xml:space="preserve">for abstracts: </w:t>
      </w:r>
      <w:r>
        <w:rPr>
          <w:rFonts w:ascii="Times New Roman" w:eastAsia="Times New Roman" w:hAnsi="Times New Roman" w:cs="Times New Roman"/>
          <w:b/>
          <w:sz w:val="30"/>
          <w:szCs w:val="30"/>
        </w:rPr>
        <w:t>15 May 2024</w:t>
      </w:r>
    </w:p>
    <w:p w14:paraId="0000001C" w14:textId="77777777" w:rsidR="003F618E" w:rsidRDefault="007D0890">
      <w:pPr>
        <w:shd w:val="clear" w:color="auto" w:fill="FFFFFF"/>
        <w:jc w:val="both"/>
        <w:rPr>
          <w:rFonts w:ascii="Times New Roman" w:eastAsia="Times New Roman" w:hAnsi="Times New Roman" w:cs="Times New Roman"/>
          <w:sz w:val="30"/>
          <w:szCs w:val="30"/>
        </w:rPr>
      </w:pPr>
      <w:r>
        <w:rPr>
          <w:rFonts w:ascii="Times New Roman" w:eastAsia="Times New Roman" w:hAnsi="Times New Roman" w:cs="Times New Roman"/>
          <w:sz w:val="30"/>
          <w:szCs w:val="30"/>
        </w:rPr>
        <w:t>Notification of the accepted abstracts: 30 May 2024</w:t>
      </w:r>
    </w:p>
    <w:p w14:paraId="0000001D" w14:textId="77777777" w:rsidR="003F618E" w:rsidRDefault="007D0890">
      <w:pPr>
        <w:shd w:val="clear" w:color="auto" w:fill="FFFFFF"/>
        <w:jc w:val="both"/>
        <w:rPr>
          <w:rFonts w:ascii="Times New Roman" w:eastAsia="Times New Roman" w:hAnsi="Times New Roman" w:cs="Times New Roman"/>
          <w:sz w:val="30"/>
          <w:szCs w:val="30"/>
        </w:rPr>
      </w:pPr>
      <w:r>
        <w:rPr>
          <w:rFonts w:ascii="Times New Roman" w:eastAsia="Times New Roman" w:hAnsi="Times New Roman" w:cs="Times New Roman"/>
          <w:sz w:val="30"/>
          <w:szCs w:val="30"/>
        </w:rPr>
        <w:t>Deadline for submission of the first draft of presentations: 30 Aug 2024</w:t>
      </w:r>
    </w:p>
    <w:p w14:paraId="0000001E" w14:textId="77777777" w:rsidR="003F618E" w:rsidRDefault="007D0890">
      <w:pPr>
        <w:jc w:val="both"/>
        <w:rPr>
          <w:rFonts w:ascii="Times New Roman" w:eastAsia="Times New Roman" w:hAnsi="Times New Roman" w:cs="Times New Roman"/>
          <w:sz w:val="30"/>
          <w:szCs w:val="30"/>
        </w:rPr>
      </w:pPr>
      <w:r>
        <w:rPr>
          <w:rFonts w:ascii="Times New Roman" w:eastAsia="Times New Roman" w:hAnsi="Times New Roman" w:cs="Times New Roman"/>
          <w:sz w:val="30"/>
          <w:szCs w:val="30"/>
        </w:rPr>
        <w:t>Conference Date: Sept 27-28, 2024</w:t>
      </w:r>
    </w:p>
    <w:sectPr w:rsidR="003F618E">
      <w:pgSz w:w="12240" w:h="15840"/>
      <w:pgMar w:top="1440" w:right="1440" w:bottom="1440" w:left="1440" w:header="720" w:footer="720"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63101E2"/>
    <w:multiLevelType w:val="multilevel"/>
    <w:tmpl w:val="F30A49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618E"/>
    <w:rsid w:val="003F618E"/>
    <w:rsid w:val="007D089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A4FB0C1-2507-4ECB-84DB-7C37F22A2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nl-N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w.a.figueroa@rug.n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vMUP7enCZgv7dWBmsVrmNtkoXfA==">CgMxLjA4AHIhMWlyR1pYTWxFTzF4TzVfeTNONGN1RGxTRzhuYTc2U0tV</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Pages>
  <Words>452</Words>
  <Characters>2488</Characters>
  <Application>Microsoft Office Word</Application>
  <DocSecurity>4</DocSecurity>
  <Lines>20</Lines>
  <Paragraphs>5</Paragraphs>
  <ScaleCrop>false</ScaleCrop>
  <Company>University of Groningen</Company>
  <LinksUpToDate>false</LinksUpToDate>
  <CharactersWithSpaces>2935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 Coolen</dc:creator>
  <cp:lastModifiedBy>L. Coolen</cp:lastModifiedBy>
  <cp:revision>2</cp:revision>
  <dcterms:created xsi:type="dcterms:W3CDTF">2024-04-08T15:03:00Z</dcterms:created>
  <dcterms:modified xsi:type="dcterms:W3CDTF">2024-04-08T15:03:00Z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4997b3d6502efc94fcf45e7e51f7020e3f594c41bfe23fa8c89e3cdd610ad3ba</vt:lpwstr>
  </property>
</Properties>
</file>