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 xml:space="preserve">aster’s degree </w:t>
      </w:r>
      <w:r w:rsidR="00D210E4">
        <w:rPr>
          <w:rFonts w:ascii="Calibri" w:eastAsia="Calibri" w:hAnsi="Calibri" w:cs="Calibri"/>
          <w:b/>
          <w:sz w:val="24"/>
          <w:szCs w:val="24"/>
        </w:rPr>
        <w:t>MSC HRM</w:t>
      </w:r>
      <w:bookmarkStart w:id="0" w:name="_GoBack"/>
      <w:bookmarkEnd w:id="0"/>
    </w:p>
    <w:p w:rsidR="00DA2A86" w:rsidRDefault="00DA2A86">
      <w:pPr>
        <w:spacing w:line="240" w:lineRule="auto"/>
        <w:rPr>
          <w:rFonts w:ascii="Calibri" w:eastAsia="Calibri" w:hAnsi="Calibri" w:cs="Calibri"/>
          <w:sz w:val="22"/>
          <w:szCs w:val="22"/>
        </w:rPr>
      </w:pPr>
    </w:p>
    <w:p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rsidR="00DA2A86" w:rsidRDefault="00DA2A86">
      <w:pPr>
        <w:spacing w:line="240" w:lineRule="auto"/>
        <w:rPr>
          <w:rFonts w:ascii="Calibri" w:eastAsia="Calibri" w:hAnsi="Calibri" w:cs="Calibri"/>
          <w:b/>
          <w:sz w:val="22"/>
          <w:szCs w:val="22"/>
        </w:rPr>
      </w:pPr>
    </w:p>
    <w:p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trPr>
          <w:trHeight w:val="602"/>
        </w:trPr>
        <w:tc>
          <w:tcPr>
            <w:tcW w:w="3936" w:type="dxa"/>
          </w:tcPr>
          <w:p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(e.g. Bachelor, Master)</w:t>
            </w:r>
          </w:p>
        </w:tc>
        <w:tc>
          <w:tcPr>
            <w:tcW w:w="2126" w:type="dxa"/>
          </w:tcPr>
          <w:p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p>
        </w:tc>
      </w:tr>
      <w:tr w:rsidR="00DA2A86">
        <w:trPr>
          <w:trHeight w:val="449"/>
        </w:trPr>
        <w:tc>
          <w:tcPr>
            <w:tcW w:w="3936" w:type="dxa"/>
          </w:tcPr>
          <w:p w:rsidR="00DA2A86" w:rsidRDefault="00DA2A86">
            <w:pPr>
              <w:tabs>
                <w:tab w:val="left" w:pos="528"/>
              </w:tabs>
              <w:rPr>
                <w:rFonts w:ascii="Cambria" w:eastAsia="Cambria" w:hAnsi="Cambria" w:cs="Cambria"/>
                <w:sz w:val="22"/>
                <w:szCs w:val="22"/>
              </w:rPr>
            </w:pPr>
          </w:p>
        </w:tc>
        <w:tc>
          <w:tcPr>
            <w:tcW w:w="1984" w:type="dxa"/>
          </w:tcPr>
          <w:p w:rsidR="00DA2A86" w:rsidRDefault="00DA2A86">
            <w:pPr>
              <w:tabs>
                <w:tab w:val="left" w:pos="528"/>
              </w:tabs>
              <w:rPr>
                <w:rFonts w:ascii="Cambria" w:eastAsia="Cambria" w:hAnsi="Cambria" w:cs="Cambria"/>
                <w:sz w:val="22"/>
                <w:szCs w:val="22"/>
              </w:rPr>
            </w:pPr>
          </w:p>
        </w:tc>
        <w:tc>
          <w:tcPr>
            <w:tcW w:w="2126" w:type="dxa"/>
          </w:tcPr>
          <w:p w:rsidR="00DA2A86" w:rsidRDefault="00DA2A86">
            <w:pPr>
              <w:tabs>
                <w:tab w:val="left" w:pos="528"/>
              </w:tabs>
              <w:rPr>
                <w:rFonts w:ascii="Cambria" w:eastAsia="Cambria" w:hAnsi="Cambria" w:cs="Cambria"/>
                <w:sz w:val="22"/>
                <w:szCs w:val="22"/>
              </w:rPr>
            </w:pPr>
          </w:p>
        </w:tc>
        <w:tc>
          <w:tcPr>
            <w:tcW w:w="1418" w:type="dxa"/>
          </w:tcPr>
          <w:p w:rsidR="00DA2A86" w:rsidRDefault="00DA2A86">
            <w:pPr>
              <w:tabs>
                <w:tab w:val="left" w:pos="528"/>
              </w:tabs>
              <w:rPr>
                <w:rFonts w:ascii="Cambria" w:eastAsia="Cambria" w:hAnsi="Cambria" w:cs="Cambria"/>
                <w:sz w:val="22"/>
                <w:szCs w:val="22"/>
              </w:rPr>
            </w:pPr>
          </w:p>
        </w:tc>
      </w:tr>
      <w:tr w:rsidR="00DA2A86">
        <w:trPr>
          <w:trHeight w:val="449"/>
        </w:trPr>
        <w:tc>
          <w:tcPr>
            <w:tcW w:w="3936" w:type="dxa"/>
          </w:tcPr>
          <w:p w:rsidR="00DA2A86" w:rsidRDefault="00DA2A86">
            <w:pPr>
              <w:tabs>
                <w:tab w:val="left" w:pos="528"/>
              </w:tabs>
              <w:rPr>
                <w:rFonts w:ascii="Cambria" w:eastAsia="Cambria" w:hAnsi="Cambria" w:cs="Cambria"/>
                <w:sz w:val="22"/>
                <w:szCs w:val="22"/>
              </w:rPr>
            </w:pPr>
          </w:p>
        </w:tc>
        <w:tc>
          <w:tcPr>
            <w:tcW w:w="1984" w:type="dxa"/>
          </w:tcPr>
          <w:p w:rsidR="00DA2A86" w:rsidRDefault="00DA2A86">
            <w:pPr>
              <w:tabs>
                <w:tab w:val="left" w:pos="528"/>
              </w:tabs>
              <w:rPr>
                <w:rFonts w:ascii="Cambria" w:eastAsia="Cambria" w:hAnsi="Cambria" w:cs="Cambria"/>
                <w:sz w:val="22"/>
                <w:szCs w:val="22"/>
              </w:rPr>
            </w:pPr>
          </w:p>
        </w:tc>
        <w:tc>
          <w:tcPr>
            <w:tcW w:w="2126" w:type="dxa"/>
          </w:tcPr>
          <w:p w:rsidR="00DA2A86" w:rsidRDefault="00DA2A86">
            <w:pPr>
              <w:tabs>
                <w:tab w:val="left" w:pos="528"/>
              </w:tabs>
              <w:rPr>
                <w:rFonts w:ascii="Cambria" w:eastAsia="Cambria" w:hAnsi="Cambria" w:cs="Cambria"/>
                <w:sz w:val="22"/>
                <w:szCs w:val="22"/>
              </w:rPr>
            </w:pPr>
          </w:p>
        </w:tc>
        <w:tc>
          <w:tcPr>
            <w:tcW w:w="1418" w:type="dxa"/>
          </w:tcPr>
          <w:p w:rsidR="00DA2A86" w:rsidRDefault="00DA2A86">
            <w:pPr>
              <w:tabs>
                <w:tab w:val="left" w:pos="528"/>
              </w:tabs>
              <w:rPr>
                <w:rFonts w:ascii="Cambria" w:eastAsia="Cambria" w:hAnsi="Cambria" w:cs="Cambria"/>
                <w:sz w:val="22"/>
                <w:szCs w:val="22"/>
              </w:rPr>
            </w:pPr>
          </w:p>
        </w:tc>
      </w:tr>
      <w:tr w:rsidR="00DA2A86">
        <w:trPr>
          <w:trHeight w:val="449"/>
        </w:trPr>
        <w:tc>
          <w:tcPr>
            <w:tcW w:w="3936" w:type="dxa"/>
          </w:tcPr>
          <w:p w:rsidR="00DA2A86" w:rsidRDefault="00DA2A86">
            <w:pPr>
              <w:tabs>
                <w:tab w:val="left" w:pos="528"/>
              </w:tabs>
              <w:rPr>
                <w:rFonts w:ascii="Cambria" w:eastAsia="Cambria" w:hAnsi="Cambria" w:cs="Cambria"/>
                <w:sz w:val="22"/>
                <w:szCs w:val="22"/>
              </w:rPr>
            </w:pPr>
          </w:p>
        </w:tc>
        <w:tc>
          <w:tcPr>
            <w:tcW w:w="1984" w:type="dxa"/>
          </w:tcPr>
          <w:p w:rsidR="00DA2A86" w:rsidRDefault="00DA2A86">
            <w:pPr>
              <w:tabs>
                <w:tab w:val="left" w:pos="528"/>
              </w:tabs>
              <w:rPr>
                <w:rFonts w:ascii="Cambria" w:eastAsia="Cambria" w:hAnsi="Cambria" w:cs="Cambria"/>
                <w:sz w:val="22"/>
                <w:szCs w:val="22"/>
              </w:rPr>
            </w:pPr>
          </w:p>
        </w:tc>
        <w:tc>
          <w:tcPr>
            <w:tcW w:w="2126" w:type="dxa"/>
          </w:tcPr>
          <w:p w:rsidR="00DA2A86" w:rsidRDefault="00DA2A86">
            <w:pPr>
              <w:tabs>
                <w:tab w:val="left" w:pos="528"/>
              </w:tabs>
              <w:rPr>
                <w:rFonts w:ascii="Cambria" w:eastAsia="Cambria" w:hAnsi="Cambria" w:cs="Cambria"/>
                <w:sz w:val="22"/>
                <w:szCs w:val="22"/>
              </w:rPr>
            </w:pPr>
          </w:p>
        </w:tc>
        <w:tc>
          <w:tcPr>
            <w:tcW w:w="1418" w:type="dxa"/>
          </w:tcPr>
          <w:p w:rsidR="00DA2A86" w:rsidRDefault="00DA2A86">
            <w:pPr>
              <w:tabs>
                <w:tab w:val="left" w:pos="528"/>
              </w:tabs>
              <w:rPr>
                <w:rFonts w:ascii="Cambria" w:eastAsia="Cambria" w:hAnsi="Cambria" w:cs="Cambria"/>
                <w:sz w:val="22"/>
                <w:szCs w:val="22"/>
              </w:rPr>
            </w:pPr>
          </w:p>
        </w:tc>
      </w:tr>
    </w:tbl>
    <w:p w:rsidR="00DA2A86" w:rsidRDefault="00DA2A86">
      <w:pPr>
        <w:spacing w:line="240" w:lineRule="auto"/>
        <w:rPr>
          <w:rFonts w:ascii="Calibri" w:eastAsia="Calibri" w:hAnsi="Calibri" w:cs="Calibri"/>
          <w:sz w:val="22"/>
          <w:szCs w:val="22"/>
        </w:rPr>
      </w:pPr>
    </w:p>
    <w:p w:rsidR="00DA2A86" w:rsidRDefault="00547DF6">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content undergraduate degree programme</w:t>
      </w:r>
    </w:p>
    <w:p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example the course units within the bachelor’s degree programme of the University of Groningen have been placed between brackets. The content of these can be found online: </w:t>
      </w:r>
      <w:hyperlink r:id="rId8">
        <w:r>
          <w:rPr>
            <w:rFonts w:ascii="Calibri" w:eastAsia="Calibri" w:hAnsi="Calibri" w:cs="Calibri"/>
            <w:color w:val="0000FF"/>
            <w:sz w:val="22"/>
            <w:szCs w:val="22"/>
            <w:u w:val="single"/>
          </w:rPr>
          <w:t>www. rug.nl/Ocasys/</w:t>
        </w:r>
      </w:hyperlink>
      <w:r>
        <w:rPr>
          <w:rFonts w:ascii="Calibri" w:eastAsia="Calibri" w:hAnsi="Calibri" w:cs="Calibri"/>
          <w:sz w:val="22"/>
          <w:szCs w:val="22"/>
        </w:rPr>
        <w:t xml:space="preserve"> including the intended learning outcomes:</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trPr>
          <w:trHeight w:val="435"/>
        </w:trPr>
        <w:tc>
          <w:tcPr>
            <w:tcW w:w="3823" w:type="dxa"/>
          </w:tcPr>
          <w:p w:rsidR="00DA2A86" w:rsidRDefault="00547DF6">
            <w:pPr>
              <w:spacing w:after="200" w:line="276" w:lineRule="auto"/>
              <w:ind w:left="25"/>
              <w:rPr>
                <w:rFonts w:ascii="Calibri" w:eastAsia="Calibri" w:hAnsi="Calibri" w:cs="Calibri"/>
                <w:b/>
                <w:sz w:val="24"/>
                <w:szCs w:val="24"/>
              </w:rPr>
            </w:pPr>
            <w:bookmarkStart w:id="1" w:name="_heading=h.gjdgxs" w:colFirst="0" w:colLast="0"/>
            <w:bookmarkEnd w:id="1"/>
            <w:r>
              <w:rPr>
                <w:rFonts w:ascii="Calibri" w:eastAsia="Calibri" w:hAnsi="Calibri" w:cs="Calibri"/>
                <w:b/>
                <w:sz w:val="24"/>
                <w:szCs w:val="24"/>
              </w:rPr>
              <w:t>Admission requirement</w:t>
            </w:r>
          </w:p>
        </w:tc>
        <w:tc>
          <w:tcPr>
            <w:tcW w:w="5641" w:type="dxa"/>
          </w:tcPr>
          <w:p w:rsidR="00DA2A86" w:rsidRDefault="00547DF6">
            <w:pPr>
              <w:spacing w:after="200" w:line="276" w:lineRule="auto"/>
              <w:rPr>
                <w:rFonts w:ascii="Calibri" w:eastAsia="Calibri" w:hAnsi="Calibri" w:cs="Calibri"/>
              </w:rPr>
            </w:pPr>
            <w:r>
              <w:rPr>
                <w:rFonts w:ascii="Calibri" w:eastAsia="Calibri" w:hAnsi="Calibri" w:cs="Calibr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DA2A86" w:rsidTr="00D210E4">
        <w:trPr>
          <w:trHeight w:val="489"/>
        </w:trPr>
        <w:tc>
          <w:tcPr>
            <w:tcW w:w="3823" w:type="dxa"/>
          </w:tcPr>
          <w:p w:rsidR="008467F1" w:rsidRPr="00D210E4" w:rsidRDefault="00547DF6">
            <w:pPr>
              <w:spacing w:line="276" w:lineRule="auto"/>
              <w:rPr>
                <w:rFonts w:asciiTheme="minorHAnsi" w:hAnsiTheme="minorHAnsi" w:cstheme="minorHAnsi"/>
                <w:sz w:val="22"/>
                <w:szCs w:val="22"/>
              </w:rPr>
            </w:pPr>
            <w:r w:rsidRPr="00D210E4">
              <w:rPr>
                <w:rFonts w:asciiTheme="minorHAnsi" w:eastAsia="Calibri" w:hAnsiTheme="minorHAnsi" w:cstheme="minorHAnsi"/>
                <w:b/>
                <w:sz w:val="22"/>
                <w:szCs w:val="22"/>
              </w:rPr>
              <w:t>Subject/competency/learning outcome 1</w:t>
            </w:r>
            <w:r w:rsidR="008467F1" w:rsidRPr="00D210E4">
              <w:rPr>
                <w:rFonts w:asciiTheme="minorHAnsi" w:eastAsia="Calibri" w:hAnsiTheme="minorHAnsi" w:cstheme="minorHAnsi"/>
                <w:b/>
                <w:sz w:val="22"/>
                <w:szCs w:val="22"/>
              </w:rPr>
              <w:t xml:space="preserve">: </w:t>
            </w:r>
            <w:r w:rsidR="008467F1" w:rsidRPr="00D210E4">
              <w:rPr>
                <w:rFonts w:asciiTheme="minorHAnsi" w:eastAsia="Calibri" w:hAnsiTheme="minorHAnsi" w:cstheme="minorHAnsi"/>
                <w:sz w:val="22"/>
                <w:szCs w:val="22"/>
              </w:rPr>
              <w:t xml:space="preserve">To gain access to the MSc HRM, </w:t>
            </w:r>
            <w:r w:rsidR="008467F1" w:rsidRPr="00D210E4">
              <w:rPr>
                <w:rFonts w:asciiTheme="minorHAnsi" w:hAnsiTheme="minorHAnsi" w:cstheme="minorHAnsi"/>
                <w:sz w:val="22"/>
                <w:szCs w:val="22"/>
              </w:rPr>
              <w:t>s</w:t>
            </w:r>
            <w:r w:rsidR="008467F1" w:rsidRPr="00D210E4">
              <w:rPr>
                <w:rFonts w:asciiTheme="minorHAnsi" w:hAnsiTheme="minorHAnsi" w:cstheme="minorHAnsi"/>
                <w:sz w:val="22"/>
                <w:szCs w:val="22"/>
              </w:rPr>
              <w:t>tudents must</w:t>
            </w:r>
            <w:r w:rsidR="008467F1" w:rsidRPr="00D210E4">
              <w:rPr>
                <w:rFonts w:asciiTheme="minorHAnsi" w:hAnsiTheme="minorHAnsi" w:cstheme="minorHAnsi"/>
                <w:sz w:val="22"/>
                <w:szCs w:val="22"/>
              </w:rPr>
              <w:t xml:space="preserve"> have academic knowledge and understanding at a basic or solid/upper intermediate level of the most important models, methods, techniques and theories in the field</w:t>
            </w:r>
            <w:r w:rsidR="008467F1" w:rsidRPr="00D210E4">
              <w:rPr>
                <w:rFonts w:asciiTheme="minorHAnsi" w:hAnsiTheme="minorHAnsi" w:cstheme="minorHAnsi"/>
                <w:sz w:val="22"/>
                <w:szCs w:val="22"/>
              </w:rPr>
              <w:t xml:space="preserve"> of</w:t>
            </w:r>
            <w:r w:rsidR="008467F1" w:rsidRPr="00D210E4">
              <w:rPr>
                <w:rFonts w:asciiTheme="minorHAnsi" w:hAnsiTheme="minorHAnsi" w:cstheme="minorHAnsi"/>
                <w:sz w:val="22"/>
                <w:szCs w:val="22"/>
              </w:rPr>
              <w:t xml:space="preserve"> Organization Studies and Behaviour in Organizations</w:t>
            </w:r>
            <w:r w:rsidR="008467F1" w:rsidRPr="00D210E4">
              <w:rPr>
                <w:rFonts w:asciiTheme="minorHAnsi" w:hAnsiTheme="minorHAnsi" w:cstheme="minorHAnsi"/>
                <w:sz w:val="22"/>
                <w:szCs w:val="22"/>
              </w:rPr>
              <w:t xml:space="preserve">. </w:t>
            </w:r>
          </w:p>
          <w:p w:rsidR="008467F1" w:rsidRPr="00D210E4" w:rsidRDefault="008467F1">
            <w:pPr>
              <w:spacing w:line="276" w:lineRule="auto"/>
              <w:rPr>
                <w:rFonts w:asciiTheme="minorHAnsi" w:hAnsiTheme="minorHAnsi" w:cstheme="minorHAnsi"/>
                <w:sz w:val="22"/>
                <w:szCs w:val="22"/>
              </w:rPr>
            </w:pPr>
          </w:p>
          <w:p w:rsidR="00DA2A86" w:rsidRPr="00D210E4" w:rsidRDefault="008467F1">
            <w:pPr>
              <w:spacing w:line="276" w:lineRule="auto"/>
              <w:rPr>
                <w:rFonts w:asciiTheme="minorHAnsi" w:hAnsiTheme="minorHAnsi" w:cstheme="minorHAnsi"/>
                <w:sz w:val="22"/>
                <w:szCs w:val="22"/>
              </w:rPr>
            </w:pPr>
            <w:r w:rsidRPr="00D210E4">
              <w:rPr>
                <w:rFonts w:asciiTheme="minorHAnsi" w:hAnsiTheme="minorHAnsi" w:cstheme="minorHAnsi"/>
                <w:sz w:val="22"/>
                <w:szCs w:val="22"/>
              </w:rPr>
              <w:t>Example courses in the bachelor’s degree/pre-master programme of the University of Groningen that contribute to these outcomes:</w:t>
            </w:r>
          </w:p>
          <w:p w:rsidR="008467F1" w:rsidRPr="00D210E4" w:rsidRDefault="008467F1" w:rsidP="00D210E4">
            <w:pPr>
              <w:pStyle w:val="ListParagraph"/>
              <w:numPr>
                <w:ilvl w:val="0"/>
                <w:numId w:val="2"/>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shd w:val="clear" w:color="auto" w:fill="FFFFFF"/>
              </w:rPr>
              <w:t>Teamwork - Theories, Design and Dynamics</w:t>
            </w:r>
          </w:p>
          <w:p w:rsidR="008467F1" w:rsidRPr="00D210E4" w:rsidRDefault="008467F1" w:rsidP="00D210E4">
            <w:pPr>
              <w:pStyle w:val="ListParagraph"/>
              <w:numPr>
                <w:ilvl w:val="0"/>
                <w:numId w:val="2"/>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shd w:val="clear" w:color="auto" w:fill="FFFFFF"/>
              </w:rPr>
              <w:lastRenderedPageBreak/>
              <w:t>Organization Theory &amp; Design for Pre-MSc</w:t>
            </w:r>
          </w:p>
          <w:p w:rsidR="008467F1" w:rsidRPr="00D210E4" w:rsidRDefault="008467F1" w:rsidP="00D210E4">
            <w:pPr>
              <w:pStyle w:val="ListParagraph"/>
              <w:numPr>
                <w:ilvl w:val="0"/>
                <w:numId w:val="2"/>
              </w:numPr>
              <w:spacing w:line="276" w:lineRule="auto"/>
              <w:rPr>
                <w:rFonts w:asciiTheme="minorHAnsi" w:hAnsiTheme="minorHAnsi" w:cstheme="minorHAnsi"/>
                <w:sz w:val="22"/>
                <w:szCs w:val="22"/>
              </w:rPr>
            </w:pPr>
            <w:hyperlink r:id="rId9" w:history="1">
              <w:r w:rsidRPr="00D210E4">
                <w:rPr>
                  <w:rStyle w:val="Hyperlink"/>
                  <w:rFonts w:asciiTheme="minorHAnsi" w:hAnsiTheme="minorHAnsi" w:cstheme="minorHAnsi"/>
                  <w:color w:val="0074B6"/>
                  <w:sz w:val="22"/>
                  <w:szCs w:val="22"/>
                  <w:shd w:val="clear" w:color="auto" w:fill="FFFFFF"/>
                </w:rPr>
                <w:t>Organizational Change for Pre-MSc</w:t>
              </w:r>
            </w:hyperlink>
          </w:p>
          <w:p w:rsidR="008467F1" w:rsidRPr="00D210E4" w:rsidRDefault="008467F1" w:rsidP="00D210E4">
            <w:pPr>
              <w:pStyle w:val="ListParagraph"/>
              <w:numPr>
                <w:ilvl w:val="0"/>
                <w:numId w:val="2"/>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shd w:val="clear" w:color="auto" w:fill="FFFFFF"/>
              </w:rPr>
              <w:t>Human Resource Management B&amp;M</w:t>
            </w:r>
          </w:p>
          <w:p w:rsidR="00DA2A86" w:rsidRPr="00D210E4" w:rsidRDefault="008467F1" w:rsidP="00D210E4">
            <w:pPr>
              <w:pStyle w:val="ListParagraph"/>
              <w:numPr>
                <w:ilvl w:val="0"/>
                <w:numId w:val="2"/>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shd w:val="clear" w:color="auto" w:fill="FFFFFF"/>
              </w:rPr>
              <w:t>Work Organization and Job Design</w:t>
            </w:r>
          </w:p>
          <w:p w:rsidR="00D210E4" w:rsidRPr="00D210E4" w:rsidRDefault="00D210E4" w:rsidP="00D210E4">
            <w:pPr>
              <w:pStyle w:val="ListParagraph"/>
              <w:numPr>
                <w:ilvl w:val="0"/>
                <w:numId w:val="2"/>
              </w:numPr>
              <w:spacing w:after="200" w:line="276" w:lineRule="auto"/>
              <w:rPr>
                <w:rFonts w:asciiTheme="minorHAnsi" w:eastAsia="Calibri" w:hAnsiTheme="minorHAnsi" w:cstheme="minorHAnsi"/>
                <w:b/>
                <w:sz w:val="22"/>
                <w:szCs w:val="22"/>
              </w:rPr>
            </w:pPr>
            <w:r w:rsidRPr="00D210E4">
              <w:rPr>
                <w:rFonts w:asciiTheme="minorHAnsi" w:hAnsiTheme="minorHAnsi" w:cstheme="minorHAnsi"/>
                <w:color w:val="0074B6"/>
                <w:sz w:val="22"/>
                <w:szCs w:val="22"/>
                <w:u w:val="single"/>
                <w:shd w:val="clear" w:color="auto" w:fill="FFFFFF"/>
              </w:rPr>
              <w:t>Ethics and International Business</w:t>
            </w:r>
          </w:p>
        </w:tc>
        <w:tc>
          <w:tcPr>
            <w:tcW w:w="5641" w:type="dxa"/>
          </w:tcPr>
          <w:p w:rsidR="00DA2A86" w:rsidRDefault="00DA2A86">
            <w:pPr>
              <w:spacing w:after="200" w:line="276" w:lineRule="auto"/>
              <w:rPr>
                <w:rFonts w:ascii="Calibri" w:eastAsia="Calibri" w:hAnsi="Calibri" w:cs="Calibri"/>
              </w:rPr>
            </w:pPr>
          </w:p>
        </w:tc>
      </w:tr>
      <w:tr w:rsidR="00DA2A86">
        <w:trPr>
          <w:trHeight w:val="927"/>
        </w:trPr>
        <w:tc>
          <w:tcPr>
            <w:tcW w:w="3823" w:type="dxa"/>
          </w:tcPr>
          <w:p w:rsidR="00DA2A86" w:rsidRPr="00D210E4" w:rsidRDefault="00547DF6" w:rsidP="008467F1">
            <w:pPr>
              <w:spacing w:line="276" w:lineRule="auto"/>
              <w:rPr>
                <w:rFonts w:asciiTheme="minorHAnsi" w:hAnsiTheme="minorHAnsi" w:cstheme="minorHAnsi"/>
                <w:sz w:val="22"/>
                <w:szCs w:val="22"/>
              </w:rPr>
            </w:pPr>
            <w:r w:rsidRPr="00D210E4">
              <w:rPr>
                <w:rFonts w:asciiTheme="minorHAnsi" w:eastAsia="Calibri" w:hAnsiTheme="minorHAnsi" w:cstheme="minorHAnsi"/>
                <w:b/>
                <w:sz w:val="22"/>
                <w:szCs w:val="22"/>
              </w:rPr>
              <w:t>Subject/competency/learning outcome 2</w:t>
            </w:r>
            <w:r w:rsidR="008467F1" w:rsidRPr="00D210E4">
              <w:rPr>
                <w:rFonts w:asciiTheme="minorHAnsi" w:eastAsia="Calibri" w:hAnsiTheme="minorHAnsi" w:cstheme="minorHAnsi"/>
                <w:b/>
                <w:sz w:val="22"/>
                <w:szCs w:val="22"/>
              </w:rPr>
              <w:t xml:space="preserve">: </w:t>
            </w:r>
            <w:r w:rsidR="008467F1" w:rsidRPr="00D210E4">
              <w:rPr>
                <w:rFonts w:asciiTheme="minorHAnsi" w:eastAsia="Calibri" w:hAnsiTheme="minorHAnsi" w:cstheme="minorHAnsi"/>
                <w:sz w:val="22"/>
                <w:szCs w:val="22"/>
              </w:rPr>
              <w:t xml:space="preserve">To gain access to the MSc HRM, </w:t>
            </w:r>
            <w:r w:rsidR="008467F1" w:rsidRPr="00D210E4">
              <w:rPr>
                <w:rFonts w:asciiTheme="minorHAnsi" w:eastAsia="Calibri" w:hAnsiTheme="minorHAnsi" w:cstheme="minorHAnsi"/>
                <w:sz w:val="22"/>
                <w:szCs w:val="22"/>
              </w:rPr>
              <w:t xml:space="preserve">students must have </w:t>
            </w:r>
            <w:r w:rsidR="008467F1" w:rsidRPr="00D210E4">
              <w:rPr>
                <w:rFonts w:asciiTheme="minorHAnsi" w:hAnsiTheme="minorHAnsi" w:cstheme="minorHAnsi"/>
                <w:sz w:val="22"/>
                <w:szCs w:val="22"/>
              </w:rPr>
              <w:t>knowledge of the most important methods of business research and are able to apply this knowledge. They are able to set up and conduct research tailored to the situation, applying the various steps of the design cycle, and provide organizational advice on the basis of this.</w:t>
            </w:r>
          </w:p>
          <w:p w:rsidR="008467F1" w:rsidRPr="00D210E4" w:rsidRDefault="008467F1" w:rsidP="008467F1">
            <w:pPr>
              <w:spacing w:line="276" w:lineRule="auto"/>
              <w:rPr>
                <w:rFonts w:asciiTheme="minorHAnsi" w:hAnsiTheme="minorHAnsi" w:cstheme="minorHAnsi"/>
                <w:sz w:val="22"/>
                <w:szCs w:val="22"/>
              </w:rPr>
            </w:pPr>
          </w:p>
          <w:p w:rsidR="008467F1" w:rsidRPr="00D210E4" w:rsidRDefault="008467F1" w:rsidP="008467F1">
            <w:pPr>
              <w:spacing w:line="276" w:lineRule="auto"/>
              <w:rPr>
                <w:rFonts w:asciiTheme="minorHAnsi" w:hAnsiTheme="minorHAnsi" w:cstheme="minorHAnsi"/>
                <w:sz w:val="22"/>
                <w:szCs w:val="22"/>
              </w:rPr>
            </w:pPr>
            <w:r w:rsidRPr="00D210E4">
              <w:rPr>
                <w:rFonts w:asciiTheme="minorHAnsi" w:hAnsiTheme="minorHAnsi" w:cstheme="minorHAnsi"/>
                <w:sz w:val="22"/>
                <w:szCs w:val="22"/>
              </w:rPr>
              <w:t>Example courses in the bachelor’s degree/pre-master programme of the University of Groningen that contribute to these outcomes:</w:t>
            </w:r>
          </w:p>
          <w:p w:rsidR="00D210E4" w:rsidRPr="00D210E4" w:rsidRDefault="00D210E4" w:rsidP="00D210E4">
            <w:pPr>
              <w:pStyle w:val="ListParagraph"/>
              <w:numPr>
                <w:ilvl w:val="0"/>
                <w:numId w:val="3"/>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rPr>
              <w:t>Research Skills Pre-MSc</w:t>
            </w:r>
          </w:p>
          <w:p w:rsidR="00D210E4" w:rsidRPr="00D210E4" w:rsidRDefault="00D210E4" w:rsidP="00D210E4">
            <w:pPr>
              <w:pStyle w:val="ListParagraph"/>
              <w:numPr>
                <w:ilvl w:val="0"/>
                <w:numId w:val="3"/>
              </w:numPr>
              <w:spacing w:line="276" w:lineRule="auto"/>
              <w:rPr>
                <w:rFonts w:asciiTheme="minorHAnsi" w:hAnsiTheme="minorHAnsi" w:cstheme="minorHAnsi"/>
                <w:sz w:val="22"/>
                <w:szCs w:val="22"/>
              </w:rPr>
            </w:pPr>
            <w:hyperlink r:id="rId10" w:history="1">
              <w:r w:rsidRPr="00D210E4">
                <w:rPr>
                  <w:rStyle w:val="Hyperlink"/>
                  <w:rFonts w:asciiTheme="minorHAnsi" w:hAnsiTheme="minorHAnsi" w:cstheme="minorHAnsi"/>
                  <w:color w:val="0074B6"/>
                  <w:sz w:val="22"/>
                  <w:szCs w:val="22"/>
                  <w:shd w:val="clear" w:color="auto" w:fill="FFFFFF"/>
                </w:rPr>
                <w:t>Statistics for Pre-MSc</w:t>
              </w:r>
            </w:hyperlink>
          </w:p>
          <w:p w:rsidR="00D210E4" w:rsidRPr="00D210E4" w:rsidRDefault="00D210E4" w:rsidP="00D210E4">
            <w:pPr>
              <w:pStyle w:val="ListParagraph"/>
              <w:numPr>
                <w:ilvl w:val="0"/>
                <w:numId w:val="3"/>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shd w:val="clear" w:color="auto" w:fill="FFFFFF"/>
              </w:rPr>
              <w:t>Research Paper (5 EC) for Pre-MSc HRM</w:t>
            </w:r>
          </w:p>
          <w:p w:rsidR="008467F1" w:rsidRPr="00D210E4" w:rsidRDefault="008467F1" w:rsidP="008467F1">
            <w:pPr>
              <w:spacing w:line="276" w:lineRule="auto"/>
              <w:rPr>
                <w:rFonts w:asciiTheme="minorHAnsi" w:eastAsia="Calibri" w:hAnsiTheme="minorHAnsi" w:cstheme="minorHAnsi"/>
                <w:b/>
                <w:sz w:val="22"/>
                <w:szCs w:val="22"/>
              </w:rPr>
            </w:pPr>
          </w:p>
        </w:tc>
        <w:tc>
          <w:tcPr>
            <w:tcW w:w="5641" w:type="dxa"/>
          </w:tcPr>
          <w:p w:rsidR="00DA2A86" w:rsidRDefault="00DA2A86">
            <w:pPr>
              <w:spacing w:after="200" w:line="276" w:lineRule="auto"/>
              <w:rPr>
                <w:rFonts w:ascii="Calibri" w:eastAsia="Calibri" w:hAnsi="Calibri" w:cs="Calibri"/>
              </w:rPr>
            </w:pPr>
          </w:p>
        </w:tc>
      </w:tr>
    </w:tbl>
    <w:p w:rsidR="00DA2A86" w:rsidRDefault="00547DF6">
      <w:pPr>
        <w:spacing w:line="240" w:lineRule="auto"/>
        <w:rPr>
          <w:rFonts w:ascii="Calibri" w:eastAsia="Calibri" w:hAnsi="Calibri" w:cs="Calibri"/>
          <w:b/>
          <w:sz w:val="30"/>
          <w:szCs w:val="30"/>
          <w:u w:val="single"/>
        </w:rPr>
      </w:pPr>
      <w:r>
        <w:rPr>
          <w:rFonts w:ascii="Calibri" w:eastAsia="Calibri" w:hAnsi="Calibri" w:cs="Calibri"/>
          <w:sz w:val="22"/>
          <w:szCs w:val="22"/>
        </w:rPr>
        <w:br/>
      </w:r>
      <w:r>
        <w:rPr>
          <w:rFonts w:ascii="Calibri" w:eastAsia="Calibri" w:hAnsi="Calibri" w:cs="Calibri"/>
          <w:b/>
          <w:sz w:val="30"/>
          <w:szCs w:val="30"/>
        </w:rPr>
        <w:br/>
      </w:r>
      <w:r>
        <w:rPr>
          <w:rFonts w:ascii="Calibri" w:eastAsia="Calibri" w:hAnsi="Calibri" w:cs="Calibri"/>
          <w:b/>
          <w:sz w:val="30"/>
          <w:szCs w:val="30"/>
          <w:u w:val="single"/>
        </w:rPr>
        <w:t>((Optional:</w:t>
      </w:r>
    </w:p>
    <w:p w:rsidR="00DA2A86" w:rsidRDefault="00547DF6">
      <w:pPr>
        <w:numPr>
          <w:ilvl w:val="0"/>
          <w:numId w:val="1"/>
        </w:numPr>
        <w:pBdr>
          <w:top w:val="nil"/>
          <w:left w:val="nil"/>
          <w:bottom w:val="nil"/>
          <w:right w:val="nil"/>
          <w:between w:val="nil"/>
        </w:pBdr>
        <w:spacing w:line="276" w:lineRule="auto"/>
        <w:rPr>
          <w:rFonts w:ascii="Calibri" w:eastAsia="Calibri" w:hAnsi="Calibri" w:cs="Calibri"/>
          <w:color w:val="000000"/>
          <w:szCs w:val="20"/>
        </w:rPr>
      </w:pPr>
      <w:r>
        <w:rPr>
          <w:rFonts w:ascii="Calibri" w:eastAsia="Calibri" w:hAnsi="Calibri" w:cs="Calibri"/>
          <w:color w:val="000000"/>
          <w:szCs w:val="20"/>
        </w:rPr>
        <w:t>Provide links to course descriptions of the courses mentioned in the table above</w:t>
      </w:r>
      <w:r>
        <w:rPr>
          <w:rFonts w:ascii="Calibri" w:eastAsia="Calibri" w:hAnsi="Calibri" w:cs="Calibri"/>
        </w:rPr>
        <w:t xml:space="preserve">. Or upload the course descriptions in the student portal but indicate below which pages are most relevant. </w:t>
      </w:r>
      <w:r>
        <w:rPr>
          <w:rFonts w:ascii="Calibri" w:eastAsia="Calibri" w:hAnsi="Calibri" w:cs="Calibri"/>
          <w:b/>
          <w:color w:val="000000"/>
          <w:sz w:val="30"/>
          <w:szCs w:val="30"/>
        </w:rPr>
        <w:t>))</w:t>
      </w:r>
      <w:r>
        <w:rPr>
          <w:rFonts w:ascii="Calibri" w:eastAsia="Calibri" w:hAnsi="Calibri" w:cs="Calibri"/>
          <w:color w:val="000000"/>
          <w:szCs w:val="20"/>
        </w:rPr>
        <w:t xml:space="preserve"> </w:t>
      </w:r>
      <w:r>
        <w:rPr>
          <w:rFonts w:ascii="Calibri" w:eastAsia="Calibri" w:hAnsi="Calibri" w:cs="Calibri"/>
          <w:color w:val="000000"/>
          <w:szCs w:val="20"/>
        </w:rPr>
        <w:br/>
        <w:t>-</w:t>
      </w:r>
      <w:r>
        <w:rPr>
          <w:rFonts w:ascii="Calibri" w:eastAsia="Calibri" w:hAnsi="Calibri" w:cs="Calibri"/>
          <w:color w:val="000000"/>
          <w:szCs w:val="20"/>
        </w:rPr>
        <w:br/>
        <w:t>-</w:t>
      </w:r>
      <w:r>
        <w:rPr>
          <w:rFonts w:ascii="Calibri" w:eastAsia="Calibri" w:hAnsi="Calibri" w:cs="Calibri"/>
        </w:rPr>
        <w:br/>
        <w:t>-</w:t>
      </w:r>
    </w:p>
    <w:p w:rsidR="00DA2A86" w:rsidRDefault="00547DF6">
      <w:pPr>
        <w:pBdr>
          <w:top w:val="nil"/>
          <w:left w:val="nil"/>
          <w:bottom w:val="nil"/>
          <w:right w:val="nil"/>
          <w:between w:val="nil"/>
        </w:pBdr>
        <w:spacing w:line="276" w:lineRule="auto"/>
        <w:ind w:left="720"/>
        <w:rPr>
          <w:rFonts w:ascii="Calibri" w:eastAsia="Calibri" w:hAnsi="Calibri" w:cs="Calibri"/>
        </w:rPr>
      </w:pPr>
      <w:r>
        <w:rPr>
          <w:rFonts w:ascii="Calibri" w:eastAsia="Calibri" w:hAnsi="Calibri" w:cs="Calibri"/>
        </w:rPr>
        <w:t>-</w:t>
      </w:r>
    </w:p>
    <w:sectPr w:rsidR="00DA2A86">
      <w:headerReference w:type="default" r:id="rId11"/>
      <w:footerReference w:type="default" r:id="rId12"/>
      <w:footerReference w:type="first" r:id="rId13"/>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887" w:rsidRDefault="00547DF6">
      <w:pPr>
        <w:spacing w:line="240" w:lineRule="auto"/>
      </w:pPr>
      <w:r>
        <w:separator/>
      </w:r>
    </w:p>
  </w:endnote>
  <w:endnote w:type="continuationSeparator" w:id="0">
    <w:p w:rsidR="00B36887" w:rsidRDefault="00547D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D210E4">
      <w:rPr>
        <w:rFonts w:eastAsia="Georgia" w:cs="Georgia"/>
        <w:noProof/>
        <w:color w:val="000000"/>
        <w:sz w:val="14"/>
        <w:szCs w:val="14"/>
      </w:rPr>
      <w:t>2</w:t>
    </w:r>
    <w:r>
      <w:rPr>
        <w:rFonts w:eastAsia="Georgia" w:cs="Georgia"/>
        <w:color w:val="000000"/>
        <w:sz w:val="14"/>
        <w:szCs w:val="14"/>
      </w:rPr>
      <w:fldChar w:fldCharType="end"/>
    </w:r>
    <w:r>
      <w:rPr>
        <w:rFonts w:eastAsia="Georgia" w:cs="Georgia"/>
        <w:color w:val="000000"/>
        <w:sz w:val="14"/>
        <w:szCs w:val="14"/>
      </w:rPr>
      <w:t xml:space="preserve"> › 2</w:t>
    </w:r>
  </w:p>
  <w:p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end"/>
    </w:r>
    <w:r>
      <w:rPr>
        <w:rFonts w:eastAsia="Georgia" w:cs="Georgia"/>
        <w:color w:val="000000"/>
        <w:sz w:val="14"/>
        <w:szCs w:val="14"/>
      </w:rPr>
      <w:t xml:space="preserve"> › 1</w:t>
    </w:r>
  </w:p>
  <w:p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887" w:rsidRDefault="00547DF6">
      <w:pPr>
        <w:spacing w:line="240" w:lineRule="auto"/>
      </w:pPr>
      <w:r>
        <w:separator/>
      </w:r>
    </w:p>
  </w:footnote>
  <w:footnote w:type="continuationSeparator" w:id="0">
    <w:p w:rsidR="00B36887" w:rsidRDefault="00547DF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2A86" w:rsidRDefault="00DA2A86"/>
  <w:p w:rsidR="00DA2A86" w:rsidRDefault="00DA2A86"/>
  <w:p w:rsidR="00DA2A86" w:rsidRDefault="00DA2A86"/>
  <w:p w:rsidR="00DA2A86" w:rsidRDefault="00DA2A86"/>
  <w:p w:rsidR="00DA2A86" w:rsidRDefault="00547DF6">
    <w:pPr>
      <w:rPr>
        <w:rFonts w:eastAsia="Georgia" w:cs="Georgia"/>
        <w:color w:val="000000"/>
        <w:szCs w:val="20"/>
      </w:rPr>
    </w:pPr>
    <w:r>
      <w:rPr>
        <w:noProof/>
        <w:lang w:val="en-US" w:eastAsia="en-US"/>
      </w:rPr>
      <mc:AlternateContent>
        <mc:Choice Requires="wps">
          <w:drawing>
            <wp:anchor distT="0" distB="0" distL="114300" distR="114300" simplePos="0" relativeHeight="251658240" behindDoc="0" locked="0" layoutInCell="1" hidden="0" allowOverlap="1">
              <wp:simplePos x="0" y="0"/>
              <wp:positionH relativeFrom="page">
                <wp:posOffset>421640</wp:posOffset>
              </wp:positionH>
              <wp:positionV relativeFrom="page">
                <wp:posOffset>349250</wp:posOffset>
              </wp:positionV>
              <wp:extent cx="5168900" cy="626745"/>
              <wp:effectExtent l="0" t="0" r="0" b="0"/>
              <wp:wrapNone/>
              <wp:docPr id="6" nam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wps:spPr>
                    <wps:txbx>
                      <w:txbxContent>
                        <w:p w:rsidR="00683C81" w:rsidRDefault="00547DF6" w:rsidP="004F1F13">
                          <w:pPr>
                            <w:pStyle w:val="Hidden"/>
                            <w:rPr>
                              <w:lang w:val="en-US"/>
                            </w:rPr>
                          </w:pPr>
                          <w:r>
                            <w:rPr>
                              <w:noProof/>
                              <w:lang w:val="en-US"/>
                            </w:rPr>
                            <w:drawing>
                              <wp:inline distT="0" distB="0" distL="0" distR="0">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extLst/>
                                        </a:blip>
                                        <a:stretch>
                                          <a:fillRect/>
                                        </a:stretch>
                                      </pic:blipFill>
                                      <pic:spPr>
                                        <a:xfrm>
                                          <a:off x="0" y="0"/>
                                          <a:ext cx="5168900" cy="626745"/>
                                        </a:xfrm>
                                        <a:prstGeom prst="rect">
                                          <a:avLst/>
                                        </a:prstGeom>
                                      </pic:spPr>
                                    </pic:pic>
                                  </a:graphicData>
                                </a:graphic>
                              </wp:inline>
                            </w:drawing>
                          </w:r>
                        </w:p>
                        <w:p w:rsidR="00683C81" w:rsidRPr="00B0073E" w:rsidRDefault="00D210E4" w:rsidP="004F1F13">
                          <w:pPr>
                            <w:pStyle w:val="Hidden"/>
                            <w:rPr>
                              <w:lang w:val="en-US"/>
                            </w:rPr>
                          </w:pPr>
                        </w:p>
                      </w:txbxContent>
                    </wps:txbx>
                    <wps:bodyPr rot="0" vert="horz" wrap="square" lIns="0" tIns="0" rIns="0" bIns="0" anchor="t" anchorCtr="0" upright="1">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page">
                <wp:posOffset>421640</wp:posOffset>
              </wp:positionH>
              <wp:positionV relativeFrom="page">
                <wp:posOffset>349250</wp:posOffset>
              </wp:positionV>
              <wp:extent cx="5168900" cy="626745"/>
              <wp:effectExtent b="0" l="0" r="0" t="0"/>
              <wp:wrapNone/>
              <wp:docPr id="6"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5168900" cy="626745"/>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927C19"/>
    <w:multiLevelType w:val="hybridMultilevel"/>
    <w:tmpl w:val="31E6BD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70A06C17"/>
    <w:multiLevelType w:val="hybridMultilevel"/>
    <w:tmpl w:val="E0303B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A86"/>
    <w:rsid w:val="00547DF6"/>
    <w:rsid w:val="008467F1"/>
    <w:rsid w:val="00B36887"/>
    <w:rsid w:val="00D210E4"/>
    <w:rsid w:val="00DA2A8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24651"/>
  <w15:docId w15:val="{D6986E1C-C206-4557-A8FD-4DEE9E23F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ocasys.rug.nl/current/catalog/course/EBS027A05" TargetMode="External"/><Relationship Id="rId4" Type="http://schemas.openxmlformats.org/officeDocument/2006/relationships/settings" Target="settings.xml"/><Relationship Id="rId9" Type="http://schemas.openxmlformats.org/officeDocument/2006/relationships/hyperlink" Target="https://ocasys.rug.nl/current/catalog/course/EBB634B05"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411</Words>
  <Characters>2345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2751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T.A. de Vries</cp:lastModifiedBy>
  <cp:revision>2</cp:revision>
  <dcterms:created xsi:type="dcterms:W3CDTF">2023-10-09T09:52:00Z</dcterms:created>
  <dcterms:modified xsi:type="dcterms:W3CDTF">2023-10-09T09:52:00Z</dcterms:modified>
</cp:coreProperties>
</file>